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63ED88">
      <w:pPr>
        <w:pStyle w:val="8"/>
        <w:spacing w:after="0" w:line="560" w:lineRule="exact"/>
        <w:ind w:firstLine="0" w:firstLineChars="0"/>
        <w:rPr>
          <w:rFonts w:hint="eastAsia" w:ascii="Times New Roman" w:hAnsi="Times New Roman" w:eastAsia="黑体"/>
          <w:sz w:val="32"/>
          <w:szCs w:val="32"/>
          <w:lang w:val="en-US" w:eastAsia="zh-CN"/>
        </w:rPr>
      </w:pPr>
      <w:r>
        <w:rPr>
          <w:rFonts w:ascii="Times New Roman" w:hAnsi="Times New Roman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3</w:t>
      </w:r>
    </w:p>
    <w:p w14:paraId="244F6F2B">
      <w:pPr>
        <w:pStyle w:val="8"/>
        <w:spacing w:after="0" w:line="560" w:lineRule="exact"/>
        <w:ind w:firstLine="0" w:firstLineChars="0"/>
        <w:rPr>
          <w:rFonts w:hint="eastAsia" w:ascii="Times New Roman" w:hAnsi="Times New Roman" w:eastAsia="黑体"/>
          <w:sz w:val="32"/>
          <w:szCs w:val="32"/>
          <w:lang w:val="en-US" w:eastAsia="zh-CN"/>
        </w:rPr>
      </w:pPr>
    </w:p>
    <w:p w14:paraId="5779F6CD">
      <w:pPr>
        <w:pStyle w:val="8"/>
        <w:spacing w:after="0" w:line="560" w:lineRule="exact"/>
        <w:ind w:firstLine="0" w:firstLineChars="0"/>
        <w:rPr>
          <w:rFonts w:ascii="Times New Roman" w:hAnsi="Times New Roman" w:eastAsia="黑体"/>
          <w:sz w:val="28"/>
          <w:szCs w:val="28"/>
        </w:rPr>
      </w:pPr>
      <w:r>
        <w:rPr>
          <w:rFonts w:ascii="Times New Roman" w:hAnsi="Times New Roman" w:eastAsia="黑体"/>
          <w:sz w:val="28"/>
          <w:szCs w:val="28"/>
        </w:rPr>
        <w:t>收费单位：上海天马山公墓</w:t>
      </w:r>
    </w:p>
    <w:tbl>
      <w:tblPr>
        <w:tblStyle w:val="4"/>
        <w:tblW w:w="4824" w:type="pct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7"/>
        <w:gridCol w:w="989"/>
        <w:gridCol w:w="933"/>
        <w:gridCol w:w="957"/>
        <w:gridCol w:w="912"/>
        <w:gridCol w:w="1274"/>
        <w:gridCol w:w="1313"/>
        <w:gridCol w:w="3025"/>
        <w:gridCol w:w="1737"/>
        <w:gridCol w:w="1184"/>
      </w:tblGrid>
      <w:tr w14:paraId="68D788E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tblHeader/>
          <w:jc w:val="center"/>
        </w:trPr>
        <w:tc>
          <w:tcPr>
            <w:tcW w:w="5000" w:type="pct"/>
            <w:gridSpan w:val="10"/>
            <w:tcBorders>
              <w:tl2br w:val="nil"/>
              <w:tr2bl w:val="nil"/>
            </w:tcBorders>
            <w:vAlign w:val="center"/>
          </w:tcPr>
          <w:p w14:paraId="5C025002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黑体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黑体"/>
                <w:snapToGrid w:val="0"/>
                <w:color w:val="000000"/>
                <w:kern w:val="0"/>
                <w:sz w:val="24"/>
                <w:lang w:bidi="ar"/>
              </w:rPr>
              <w:t>公墓收费公示表</w:t>
            </w:r>
          </w:p>
        </w:tc>
      </w:tr>
      <w:tr w14:paraId="423AB74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tblHeader/>
          <w:jc w:val="center"/>
        </w:trPr>
        <w:tc>
          <w:tcPr>
            <w:tcW w:w="253" w:type="pct"/>
            <w:vMerge w:val="restart"/>
            <w:tcBorders>
              <w:tl2br w:val="nil"/>
              <w:tr2bl w:val="nil"/>
            </w:tcBorders>
            <w:vAlign w:val="center"/>
          </w:tcPr>
          <w:p w14:paraId="59708D99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黑体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黑体"/>
                <w:snapToGrid w:val="0"/>
                <w:color w:val="000000"/>
                <w:kern w:val="0"/>
                <w:sz w:val="24"/>
                <w:lang w:bidi="ar"/>
              </w:rPr>
              <w:t>墓穴类型</w:t>
            </w:r>
          </w:p>
        </w:tc>
        <w:tc>
          <w:tcPr>
            <w:tcW w:w="380" w:type="pct"/>
            <w:vMerge w:val="restart"/>
            <w:tcBorders>
              <w:tl2br w:val="nil"/>
              <w:tr2bl w:val="nil"/>
            </w:tcBorders>
            <w:vAlign w:val="center"/>
          </w:tcPr>
          <w:p w14:paraId="661FBD4D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黑体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黑体"/>
                <w:snapToGrid w:val="0"/>
                <w:color w:val="000000"/>
                <w:kern w:val="0"/>
                <w:sz w:val="24"/>
                <w:lang w:bidi="ar"/>
              </w:rPr>
              <w:t>墓区位置</w:t>
            </w:r>
          </w:p>
        </w:tc>
        <w:tc>
          <w:tcPr>
            <w:tcW w:w="1569" w:type="pct"/>
            <w:gridSpan w:val="4"/>
            <w:tcBorders>
              <w:tl2br w:val="nil"/>
              <w:tr2bl w:val="nil"/>
            </w:tcBorders>
            <w:vAlign w:val="center"/>
          </w:tcPr>
          <w:p w14:paraId="5D0BCC53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黑体"/>
                <w:snapToGrid w:val="0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/>
                <w:snapToGrid w:val="0"/>
                <w:color w:val="000000"/>
                <w:kern w:val="0"/>
                <w:sz w:val="24"/>
                <w:lang w:bidi="ar"/>
              </w:rPr>
              <w:t>墓穴使用费</w:t>
            </w:r>
          </w:p>
        </w:tc>
        <w:tc>
          <w:tcPr>
            <w:tcW w:w="505" w:type="pct"/>
            <w:vMerge w:val="restart"/>
            <w:tcBorders>
              <w:tl2br w:val="nil"/>
              <w:tr2bl w:val="nil"/>
            </w:tcBorders>
            <w:vAlign w:val="center"/>
          </w:tcPr>
          <w:p w14:paraId="499CC605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黑体"/>
                <w:snapToGrid w:val="0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/>
                <w:snapToGrid w:val="0"/>
                <w:color w:val="000000"/>
                <w:kern w:val="0"/>
                <w:sz w:val="24"/>
                <w:lang w:bidi="ar"/>
              </w:rPr>
              <w:t>墓(格)位维护管理费</w:t>
            </w:r>
          </w:p>
          <w:p w14:paraId="5065214D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黑体"/>
                <w:snapToGrid w:val="0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lang w:bidi="ar"/>
              </w:rPr>
              <w:t>(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</w:rPr>
              <w:t>含绿化养护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lang w:val="en"/>
              </w:rPr>
              <w:t>等费用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</w:rPr>
              <w:t>,具体以文件为准)</w:t>
            </w:r>
          </w:p>
        </w:tc>
        <w:tc>
          <w:tcPr>
            <w:tcW w:w="1165" w:type="pct"/>
            <w:vMerge w:val="restart"/>
            <w:tcBorders>
              <w:tl2br w:val="nil"/>
              <w:tr2bl w:val="nil"/>
            </w:tcBorders>
            <w:vAlign w:val="center"/>
          </w:tcPr>
          <w:p w14:paraId="797251A0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黑体"/>
                <w:snapToGrid w:val="0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黑体"/>
                <w:snapToGrid w:val="0"/>
                <w:color w:val="000000"/>
                <w:kern w:val="0"/>
                <w:sz w:val="24"/>
                <w:lang w:bidi="ar"/>
              </w:rPr>
              <w:t>墓穴详情</w:t>
            </w:r>
          </w:p>
          <w:p w14:paraId="5A012FF7">
            <w:pPr>
              <w:numPr>
                <w:ilvl w:val="0"/>
                <w:numId w:val="0"/>
              </w:numPr>
              <w:overflowPunct w:val="0"/>
              <w:adjustRightInd w:val="0"/>
              <w:snapToGrid w:val="0"/>
              <w:jc w:val="both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  <w:t>（1.提供墓穴（格位）用于骨灰安葬（放），含建墓工料、刻字（基础刻字：逝者信息大字12个以内，家属信息、落葬日期等小字50个以内）、描字（除使用贵金属以外的颜料）、刻框（含打磨）、落葬（基础款：开穴、安放、封穴）、迁葬（同一墓园内迁葬）、墓穴（格位）证书打印（限1本）等费用。</w:t>
            </w:r>
          </w:p>
          <w:p w14:paraId="36EDA8A8">
            <w:pPr>
              <w:numPr>
                <w:ilvl w:val="0"/>
                <w:numId w:val="0"/>
              </w:numPr>
              <w:overflowPunct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黑体"/>
                <w:snapToGrid w:val="0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  <w:t>2.超出免费部分及其他需求的，据实收费，</w:t>
            </w:r>
            <w:r>
              <w:rPr>
                <w:rFonts w:hint="eastAsia" w:ascii="仿宋" w:hAnsi="仿宋" w:eastAsia="仿宋" w:cs="仿宋"/>
                <w:b/>
                <w:bCs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  <w:t>详见其他需求收费明细表。</w:t>
            </w:r>
          </w:p>
        </w:tc>
        <w:tc>
          <w:tcPr>
            <w:tcW w:w="669" w:type="pct"/>
            <w:vMerge w:val="restart"/>
            <w:tcBorders>
              <w:tl2br w:val="nil"/>
              <w:tr2bl w:val="nil"/>
            </w:tcBorders>
            <w:vAlign w:val="center"/>
          </w:tcPr>
          <w:p w14:paraId="7C91963E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黑体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黑体"/>
                <w:snapToGrid w:val="0"/>
                <w:color w:val="000000"/>
                <w:kern w:val="0"/>
                <w:sz w:val="24"/>
                <w:lang w:bidi="ar"/>
              </w:rPr>
              <w:t>减免政策</w:t>
            </w:r>
          </w:p>
        </w:tc>
        <w:tc>
          <w:tcPr>
            <w:tcW w:w="456" w:type="pct"/>
            <w:vMerge w:val="restart"/>
            <w:tcBorders>
              <w:tl2br w:val="nil"/>
              <w:tr2bl w:val="nil"/>
            </w:tcBorders>
            <w:vAlign w:val="center"/>
          </w:tcPr>
          <w:p w14:paraId="298FAAE6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黑体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黑体"/>
                <w:snapToGrid w:val="0"/>
                <w:color w:val="000000"/>
                <w:kern w:val="0"/>
                <w:sz w:val="24"/>
                <w:lang w:bidi="ar"/>
              </w:rPr>
              <w:t>备注</w:t>
            </w:r>
            <w:r>
              <w:rPr>
                <w:rFonts w:ascii="Times New Roman" w:hAnsi="Times New Roman" w:eastAsia="黑体"/>
                <w:snapToGrid w:val="0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ascii="Times New Roman" w:hAnsi="Times New Roman" w:eastAsia="黑体"/>
                <w:snapToGrid w:val="0"/>
                <w:color w:val="000000"/>
                <w:kern w:val="0"/>
                <w:sz w:val="24"/>
                <w:lang w:bidi="ar"/>
              </w:rPr>
              <w:t>（可附照片）</w:t>
            </w:r>
          </w:p>
        </w:tc>
      </w:tr>
      <w:tr w14:paraId="6E8EE03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tblHeader/>
          <w:jc w:val="center"/>
        </w:trPr>
        <w:tc>
          <w:tcPr>
            <w:tcW w:w="253" w:type="pct"/>
            <w:vMerge w:val="continue"/>
            <w:tcBorders>
              <w:tl2br w:val="nil"/>
              <w:tr2bl w:val="nil"/>
            </w:tcBorders>
            <w:vAlign w:val="center"/>
          </w:tcPr>
          <w:p w14:paraId="2333D787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黑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380" w:type="pct"/>
            <w:vMerge w:val="continue"/>
            <w:tcBorders>
              <w:tl2br w:val="nil"/>
              <w:tr2bl w:val="nil"/>
            </w:tcBorders>
            <w:vAlign w:val="center"/>
          </w:tcPr>
          <w:p w14:paraId="2886292D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黑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359" w:type="pct"/>
            <w:tcBorders>
              <w:tl2br w:val="nil"/>
              <w:tr2bl w:val="nil"/>
            </w:tcBorders>
            <w:vAlign w:val="center"/>
          </w:tcPr>
          <w:p w14:paraId="41AF7DD9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黑体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黑体"/>
                <w:snapToGrid w:val="0"/>
                <w:color w:val="000000"/>
                <w:kern w:val="0"/>
                <w:sz w:val="24"/>
                <w:lang w:bidi="ar"/>
              </w:rPr>
              <w:t>收费标准</w:t>
            </w:r>
          </w:p>
        </w:tc>
        <w:tc>
          <w:tcPr>
            <w:tcW w:w="368" w:type="pct"/>
            <w:tcBorders>
              <w:tl2br w:val="nil"/>
              <w:tr2bl w:val="nil"/>
            </w:tcBorders>
            <w:vAlign w:val="center"/>
          </w:tcPr>
          <w:p w14:paraId="33A1265D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黑体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黑体"/>
                <w:snapToGrid w:val="0"/>
                <w:color w:val="000000"/>
                <w:kern w:val="0"/>
                <w:sz w:val="24"/>
                <w:lang w:bidi="ar"/>
              </w:rPr>
              <w:t>计费单位</w:t>
            </w:r>
          </w:p>
        </w:tc>
        <w:tc>
          <w:tcPr>
            <w:tcW w:w="351" w:type="pct"/>
            <w:tcBorders>
              <w:tl2br w:val="nil"/>
              <w:tr2bl w:val="nil"/>
            </w:tcBorders>
            <w:vAlign w:val="center"/>
          </w:tcPr>
          <w:p w14:paraId="67BE76D9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黑体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黑体"/>
                <w:snapToGrid w:val="0"/>
                <w:color w:val="000000"/>
                <w:kern w:val="0"/>
                <w:sz w:val="24"/>
                <w:lang w:bidi="ar"/>
              </w:rPr>
              <w:t>收费管理形式</w:t>
            </w:r>
          </w:p>
        </w:tc>
        <w:tc>
          <w:tcPr>
            <w:tcW w:w="490" w:type="pct"/>
            <w:tcBorders>
              <w:tl2br w:val="nil"/>
              <w:tr2bl w:val="nil"/>
            </w:tcBorders>
            <w:vAlign w:val="center"/>
          </w:tcPr>
          <w:p w14:paraId="2B1F8F98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黑体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黑体"/>
                <w:snapToGrid w:val="0"/>
                <w:color w:val="000000"/>
                <w:kern w:val="0"/>
                <w:sz w:val="24"/>
                <w:lang w:bidi="ar"/>
              </w:rPr>
              <w:t>收费依据</w:t>
            </w:r>
          </w:p>
        </w:tc>
        <w:tc>
          <w:tcPr>
            <w:tcW w:w="505" w:type="pct"/>
            <w:vMerge w:val="continue"/>
            <w:tcBorders>
              <w:tl2br w:val="nil"/>
              <w:tr2bl w:val="nil"/>
            </w:tcBorders>
            <w:vAlign w:val="center"/>
          </w:tcPr>
          <w:p w14:paraId="03D94256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黑体"/>
                <w:snapToGrid w:val="0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vAlign w:val="center"/>
          </w:tcPr>
          <w:p w14:paraId="70040B61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黑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669" w:type="pct"/>
            <w:vMerge w:val="continue"/>
            <w:tcBorders>
              <w:tl2br w:val="nil"/>
              <w:tr2bl w:val="nil"/>
            </w:tcBorders>
            <w:vAlign w:val="center"/>
          </w:tcPr>
          <w:p w14:paraId="00057470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黑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456" w:type="pct"/>
            <w:vMerge w:val="continue"/>
            <w:tcBorders>
              <w:tl2br w:val="nil"/>
              <w:tr2bl w:val="nil"/>
            </w:tcBorders>
            <w:vAlign w:val="center"/>
          </w:tcPr>
          <w:p w14:paraId="6A8627C5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黑体"/>
                <w:snapToGrid w:val="0"/>
                <w:color w:val="000000"/>
                <w:kern w:val="0"/>
                <w:sz w:val="24"/>
              </w:rPr>
            </w:pPr>
          </w:p>
        </w:tc>
      </w:tr>
      <w:tr w14:paraId="10F2249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9" w:hRule="atLeast"/>
          <w:jc w:val="center"/>
        </w:trPr>
        <w:tc>
          <w:tcPr>
            <w:tcW w:w="253" w:type="pct"/>
            <w:tcBorders>
              <w:tl2br w:val="nil"/>
              <w:tr2bl w:val="nil"/>
            </w:tcBorders>
            <w:vAlign w:val="center"/>
          </w:tcPr>
          <w:p w14:paraId="5AB9C1F0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黑体"/>
                <w:snapToGrid w:val="0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/>
                <w:snapToGrid w:val="0"/>
                <w:color w:val="000000"/>
                <w:kern w:val="0"/>
                <w:sz w:val="24"/>
                <w:lang w:bidi="ar"/>
              </w:rPr>
              <w:t>传统</w:t>
            </w:r>
            <w:r>
              <w:rPr>
                <w:rFonts w:ascii="Times New Roman" w:hAnsi="Times New Roman" w:eastAsia="黑体"/>
                <w:snapToGrid w:val="0"/>
                <w:color w:val="000000"/>
                <w:kern w:val="0"/>
                <w:sz w:val="24"/>
                <w:lang w:bidi="ar"/>
              </w:rPr>
              <w:t>型墓位</w:t>
            </w:r>
          </w:p>
        </w:tc>
        <w:tc>
          <w:tcPr>
            <w:tcW w:w="380" w:type="pct"/>
            <w:tcBorders>
              <w:tl2br w:val="nil"/>
              <w:tr2bl w:val="nil"/>
            </w:tcBorders>
            <w:vAlign w:val="center"/>
          </w:tcPr>
          <w:p w14:paraId="44781A24">
            <w:pPr>
              <w:overflowPunct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</w:rPr>
              <w:t>牡丹11区</w:t>
            </w:r>
          </w:p>
        </w:tc>
        <w:tc>
          <w:tcPr>
            <w:tcW w:w="359" w:type="pct"/>
            <w:tcBorders>
              <w:tl2br w:val="nil"/>
              <w:tr2bl w:val="nil"/>
            </w:tcBorders>
            <w:vAlign w:val="center"/>
          </w:tcPr>
          <w:p w14:paraId="35C68754">
            <w:pPr>
              <w:overflowPunct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</w:rPr>
              <w:t>12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1000</w:t>
            </w: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</w:t>
            </w:r>
          </w:p>
        </w:tc>
        <w:tc>
          <w:tcPr>
            <w:tcW w:w="368" w:type="pct"/>
            <w:tcBorders>
              <w:tl2br w:val="nil"/>
              <w:tr2bl w:val="nil"/>
            </w:tcBorders>
            <w:vAlign w:val="center"/>
          </w:tcPr>
          <w:p w14:paraId="154A30F2">
            <w:pPr>
              <w:overflowPunct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</w:rPr>
              <w:t>元/双穴</w:t>
            </w:r>
          </w:p>
        </w:tc>
        <w:tc>
          <w:tcPr>
            <w:tcW w:w="351" w:type="pct"/>
            <w:tcBorders>
              <w:tl2br w:val="nil"/>
              <w:tr2bl w:val="nil"/>
            </w:tcBorders>
            <w:vAlign w:val="center"/>
          </w:tcPr>
          <w:p w14:paraId="46EB3A68">
            <w:pPr>
              <w:overflowPunct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市场调节价</w:t>
            </w:r>
          </w:p>
        </w:tc>
        <w:tc>
          <w:tcPr>
            <w:tcW w:w="490" w:type="pct"/>
            <w:tcBorders>
              <w:tl2br w:val="nil"/>
              <w:tr2bl w:val="nil"/>
            </w:tcBorders>
            <w:vAlign w:val="center"/>
          </w:tcPr>
          <w:p w14:paraId="25119EF3">
            <w:pPr>
              <w:overflowPunct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505" w:type="pct"/>
            <w:tcBorders>
              <w:tl2br w:val="nil"/>
              <w:tr2bl w:val="nil"/>
            </w:tcBorders>
            <w:vAlign w:val="center"/>
          </w:tcPr>
          <w:p w14:paraId="4BD29320">
            <w:pPr>
              <w:overflowPunct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</w:rPr>
              <w:t>13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0元/10年</w:t>
            </w:r>
          </w:p>
        </w:tc>
        <w:tc>
          <w:tcPr>
            <w:tcW w:w="1165" w:type="pct"/>
            <w:tcBorders>
              <w:tl2br w:val="nil"/>
              <w:tr2bl w:val="nil"/>
            </w:tcBorders>
            <w:vAlign w:val="center"/>
          </w:tcPr>
          <w:p w14:paraId="42F87B1F">
            <w:pPr>
              <w:numPr>
                <w:ilvl w:val="0"/>
                <w:numId w:val="0"/>
              </w:numPr>
              <w:overflowPunct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</w:rPr>
              <w:t>墓穴占地面积0.297平方米；墓体主材为花岗岩材料，含墓穴、墓碑、墓台；墓台构件含碑座、盖板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。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</w:rPr>
              <w:t>墓碑高度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76 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</w:rPr>
              <w:t>cm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669" w:type="pct"/>
            <w:tcBorders>
              <w:tl2br w:val="nil"/>
              <w:tr2bl w:val="nil"/>
            </w:tcBorders>
            <w:vAlign w:val="center"/>
          </w:tcPr>
          <w:p w14:paraId="1905CFEC">
            <w:pPr>
              <w:overflowPunct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456" w:type="pct"/>
            <w:tcBorders>
              <w:tl2br w:val="nil"/>
              <w:tr2bl w:val="nil"/>
            </w:tcBorders>
            <w:vAlign w:val="center"/>
          </w:tcPr>
          <w:p w14:paraId="55169D01">
            <w:pPr>
              <w:numPr>
                <w:ilvl w:val="0"/>
                <w:numId w:val="0"/>
              </w:numPr>
              <w:tabs>
                <w:tab w:val="left" w:pos="737"/>
              </w:tabs>
              <w:overflowPunct w:val="0"/>
              <w:adjustRightInd w:val="0"/>
              <w:snapToGrid w:val="0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具体墓区位置详见业务大厅《墓区分布平面图》</w:t>
            </w:r>
          </w:p>
        </w:tc>
      </w:tr>
      <w:tr w14:paraId="4B6EB14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25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E60853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黑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黑体"/>
                <w:snapToGrid w:val="0"/>
                <w:color w:val="000000"/>
                <w:kern w:val="0"/>
                <w:sz w:val="24"/>
                <w:lang w:bidi="ar"/>
              </w:rPr>
              <w:t>传统</w:t>
            </w:r>
            <w:r>
              <w:rPr>
                <w:rFonts w:ascii="Times New Roman" w:hAnsi="Times New Roman" w:eastAsia="黑体"/>
                <w:snapToGrid w:val="0"/>
                <w:color w:val="000000"/>
                <w:kern w:val="0"/>
                <w:sz w:val="24"/>
                <w:lang w:bidi="ar"/>
              </w:rPr>
              <w:t>型墓位</w:t>
            </w:r>
          </w:p>
        </w:tc>
        <w:tc>
          <w:tcPr>
            <w:tcW w:w="3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9CF5F0">
            <w:pPr>
              <w:overflowPunct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</w:rPr>
              <w:t>牡丹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</w:rPr>
              <w:t>区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5F12B5">
            <w:pPr>
              <w:overflowPunct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159000</w:t>
            </w: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</w:t>
            </w:r>
          </w:p>
        </w:tc>
        <w:tc>
          <w:tcPr>
            <w:tcW w:w="36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20ED2E">
            <w:pPr>
              <w:overflowPunct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</w:rPr>
              <w:t>元/双穴</w:t>
            </w:r>
          </w:p>
        </w:tc>
        <w:tc>
          <w:tcPr>
            <w:tcW w:w="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9E44EE">
            <w:pPr>
              <w:overflowPunct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市场调节价</w:t>
            </w:r>
          </w:p>
        </w:tc>
        <w:tc>
          <w:tcPr>
            <w:tcW w:w="49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58BA24">
            <w:pPr>
              <w:overflowPunct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901FA2">
            <w:pPr>
              <w:overflowPunct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227元/10年</w:t>
            </w:r>
          </w:p>
        </w:tc>
        <w:tc>
          <w:tcPr>
            <w:tcW w:w="116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C9A3BC">
            <w:pPr>
              <w:overflowPunct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</w:rPr>
              <w:t>墓穴占地面积0.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504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</w:rPr>
              <w:t>平方米；墓体主材为花岗岩材料，含墓穴、墓碑、墓台；墓台构件含碑座、盖板，绿植。墓碑高度8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0 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</w:rPr>
              <w:t>cm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669" w:type="pct"/>
            <w:tcBorders>
              <w:tl2br w:val="nil"/>
              <w:tr2bl w:val="nil"/>
            </w:tcBorders>
            <w:vAlign w:val="center"/>
          </w:tcPr>
          <w:p w14:paraId="2394B4AB">
            <w:pPr>
              <w:overflowPunct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456" w:type="pct"/>
            <w:tcBorders>
              <w:tl2br w:val="nil"/>
              <w:tr2bl w:val="nil"/>
            </w:tcBorders>
            <w:vAlign w:val="center"/>
          </w:tcPr>
          <w:p w14:paraId="7394B803">
            <w:pPr>
              <w:numPr>
                <w:ilvl w:val="0"/>
                <w:numId w:val="0"/>
              </w:numPr>
              <w:tabs>
                <w:tab w:val="left" w:pos="737"/>
              </w:tabs>
              <w:overflowPunct w:val="0"/>
              <w:adjustRightInd w:val="0"/>
              <w:snapToGrid w:val="0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 w14:paraId="6F45C52C">
            <w:pPr>
              <w:overflowPunct w:val="0"/>
              <w:adjustRightInd w:val="0"/>
              <w:snapToGrid w:val="0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具体墓区位置详见业务大厅《墓区分布平面图》</w:t>
            </w:r>
          </w:p>
        </w:tc>
      </w:tr>
      <w:tr w14:paraId="1103011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  <w:jc w:val="center"/>
        </w:trPr>
        <w:tc>
          <w:tcPr>
            <w:tcW w:w="25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BAE119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/>
                <w:snapToGrid w:val="0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黑体"/>
                <w:snapToGrid w:val="0"/>
                <w:color w:val="000000"/>
                <w:kern w:val="0"/>
                <w:sz w:val="22"/>
                <w:szCs w:val="22"/>
                <w:lang w:bidi="ar"/>
              </w:rPr>
              <w:t>节地</w:t>
            </w:r>
            <w:r>
              <w:rPr>
                <w:rFonts w:hint="eastAsia" w:ascii="Times New Roman" w:hAnsi="Times New Roman" w:eastAsia="黑体"/>
                <w:snapToGrid w:val="0"/>
                <w:color w:val="000000"/>
                <w:kern w:val="0"/>
                <w:sz w:val="22"/>
                <w:szCs w:val="22"/>
                <w:lang w:val="en-US" w:eastAsia="zh-CN" w:bidi="ar"/>
              </w:rPr>
              <w:t>型室外栏杆葬</w:t>
            </w:r>
          </w:p>
        </w:tc>
        <w:tc>
          <w:tcPr>
            <w:tcW w:w="3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F4D59A">
            <w:pPr>
              <w:overflowPunct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</w:rPr>
              <w:t>栏杆葬7区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单穴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一层、二层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A4309B">
            <w:pPr>
              <w:overflowPunct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33000</w:t>
            </w: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</w:t>
            </w:r>
          </w:p>
        </w:tc>
        <w:tc>
          <w:tcPr>
            <w:tcW w:w="36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B0699D">
            <w:pPr>
              <w:overflowPunct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</w:rPr>
              <w:t>元/穴</w:t>
            </w:r>
          </w:p>
        </w:tc>
        <w:tc>
          <w:tcPr>
            <w:tcW w:w="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2B7794">
            <w:pPr>
              <w:overflowPunct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市场调节价</w:t>
            </w:r>
          </w:p>
        </w:tc>
        <w:tc>
          <w:tcPr>
            <w:tcW w:w="49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59C4DB">
            <w:pPr>
              <w:overflowPunct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3BD11D">
            <w:pPr>
              <w:overflowPunct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200元/10年</w:t>
            </w:r>
          </w:p>
        </w:tc>
        <w:tc>
          <w:tcPr>
            <w:tcW w:w="116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667D57">
            <w:pPr>
              <w:overflowPunct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</w:rPr>
              <w:t>室外立体式节地葬，一共6层，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墓位为单穴，每穴占地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</w:rPr>
              <w:t>面积为0.0162㎡；墓体主材为花岗岩材料，含墓穴、墓碑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其中墓碑为南非红大理石材质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</w:rPr>
              <w:t>。</w:t>
            </w:r>
          </w:p>
        </w:tc>
        <w:tc>
          <w:tcPr>
            <w:tcW w:w="669" w:type="pct"/>
            <w:tcBorders>
              <w:tl2br w:val="nil"/>
              <w:tr2bl w:val="nil"/>
            </w:tcBorders>
            <w:vAlign w:val="center"/>
          </w:tcPr>
          <w:p w14:paraId="64ABD794">
            <w:pPr>
              <w:overflowPunct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456" w:type="pct"/>
            <w:tcBorders>
              <w:tl2br w:val="nil"/>
              <w:tr2bl w:val="nil"/>
            </w:tcBorders>
            <w:vAlign w:val="center"/>
          </w:tcPr>
          <w:p w14:paraId="5DF9F423">
            <w:pPr>
              <w:overflowPunct w:val="0"/>
              <w:adjustRightInd w:val="0"/>
              <w:snapToGrid w:val="0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具体墓区位置详见业务大厅《墓区分布平面图》</w:t>
            </w:r>
          </w:p>
        </w:tc>
      </w:tr>
      <w:tr w14:paraId="0DF2AB2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3" w:hRule="atLeast"/>
          <w:jc w:val="center"/>
        </w:trPr>
        <w:tc>
          <w:tcPr>
            <w:tcW w:w="25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77CA2A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黑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黑体"/>
                <w:snapToGrid w:val="0"/>
                <w:color w:val="000000"/>
                <w:kern w:val="0"/>
                <w:sz w:val="22"/>
                <w:szCs w:val="22"/>
                <w:lang w:bidi="ar"/>
              </w:rPr>
              <w:t>节地</w:t>
            </w:r>
            <w:r>
              <w:rPr>
                <w:rFonts w:hint="eastAsia" w:ascii="Times New Roman" w:hAnsi="Times New Roman" w:eastAsia="黑体"/>
                <w:snapToGrid w:val="0"/>
                <w:color w:val="000000"/>
                <w:kern w:val="0"/>
                <w:sz w:val="22"/>
                <w:szCs w:val="22"/>
                <w:lang w:val="en-US" w:eastAsia="zh-CN" w:bidi="ar"/>
              </w:rPr>
              <w:t>型室外栏杆葬</w:t>
            </w:r>
          </w:p>
        </w:tc>
        <w:tc>
          <w:tcPr>
            <w:tcW w:w="3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951FD2">
            <w:pPr>
              <w:overflowPunct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</w:rPr>
              <w:t>栏杆葬7区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单穴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五层、六层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21859B">
            <w:pPr>
              <w:overflowPunct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38000</w:t>
            </w: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</w:t>
            </w:r>
          </w:p>
        </w:tc>
        <w:tc>
          <w:tcPr>
            <w:tcW w:w="36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A4472A">
            <w:pPr>
              <w:overflowPunct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</w:rPr>
              <w:t>元/穴</w:t>
            </w:r>
          </w:p>
        </w:tc>
        <w:tc>
          <w:tcPr>
            <w:tcW w:w="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A118B0">
            <w:pPr>
              <w:overflowPunct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市场调节价</w:t>
            </w:r>
          </w:p>
        </w:tc>
        <w:tc>
          <w:tcPr>
            <w:tcW w:w="49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9B9303">
            <w:pPr>
              <w:overflowPunct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E11A14">
            <w:pPr>
              <w:overflowPunct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200元/10年</w:t>
            </w:r>
          </w:p>
        </w:tc>
        <w:tc>
          <w:tcPr>
            <w:tcW w:w="116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CE1632">
            <w:pPr>
              <w:overflowPunct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</w:rPr>
              <w:t>室外立体式节地葬，一共6层，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墓位为单穴，每穴占地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</w:rPr>
              <w:t>面积为0.0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162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</w:rPr>
              <w:t>㎡；墓体主材为花岗岩材料，含墓穴、墓碑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其中墓碑为南非红大理石材质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</w:rPr>
              <w:t>。</w:t>
            </w:r>
          </w:p>
        </w:tc>
        <w:tc>
          <w:tcPr>
            <w:tcW w:w="669" w:type="pct"/>
            <w:tcBorders>
              <w:tl2br w:val="nil"/>
              <w:tr2bl w:val="nil"/>
            </w:tcBorders>
            <w:vAlign w:val="center"/>
          </w:tcPr>
          <w:p w14:paraId="7D648E62">
            <w:pPr>
              <w:overflowPunct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456" w:type="pct"/>
            <w:tcBorders>
              <w:tl2br w:val="nil"/>
              <w:tr2bl w:val="nil"/>
            </w:tcBorders>
            <w:vAlign w:val="center"/>
          </w:tcPr>
          <w:p w14:paraId="6A6F3C8F">
            <w:pPr>
              <w:overflowPunct w:val="0"/>
              <w:adjustRightInd w:val="0"/>
              <w:snapToGrid w:val="0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具体墓区位置详见业务大厅《墓区分布平面图》</w:t>
            </w:r>
          </w:p>
        </w:tc>
      </w:tr>
      <w:tr w14:paraId="72ACF02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25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A42775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黑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黑体"/>
                <w:snapToGrid w:val="0"/>
                <w:color w:val="000000"/>
                <w:kern w:val="0"/>
                <w:sz w:val="22"/>
                <w:szCs w:val="22"/>
                <w:lang w:bidi="ar"/>
              </w:rPr>
              <w:t>节地</w:t>
            </w:r>
            <w:r>
              <w:rPr>
                <w:rFonts w:hint="eastAsia" w:ascii="Times New Roman" w:hAnsi="Times New Roman" w:eastAsia="黑体"/>
                <w:snapToGrid w:val="0"/>
                <w:color w:val="000000"/>
                <w:kern w:val="0"/>
                <w:sz w:val="22"/>
                <w:szCs w:val="22"/>
                <w:lang w:val="en-US" w:eastAsia="zh-CN" w:bidi="ar"/>
              </w:rPr>
              <w:t>型室外栏杆葬</w:t>
            </w:r>
          </w:p>
        </w:tc>
        <w:tc>
          <w:tcPr>
            <w:tcW w:w="3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163882">
            <w:pPr>
              <w:overflowPunct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</w:rPr>
              <w:t>栏杆葬7区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单穴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三层、四层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2CE481">
            <w:pPr>
              <w:overflowPunct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43000</w:t>
            </w: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</w:t>
            </w:r>
          </w:p>
        </w:tc>
        <w:tc>
          <w:tcPr>
            <w:tcW w:w="36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EE7373">
            <w:pPr>
              <w:overflowPunct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</w:rPr>
              <w:t>元/穴</w:t>
            </w:r>
          </w:p>
        </w:tc>
        <w:tc>
          <w:tcPr>
            <w:tcW w:w="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B6CD99">
            <w:pPr>
              <w:overflowPunct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市场调节价</w:t>
            </w:r>
          </w:p>
        </w:tc>
        <w:tc>
          <w:tcPr>
            <w:tcW w:w="49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35D9FD">
            <w:pPr>
              <w:overflowPunct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AA187C">
            <w:pPr>
              <w:overflowPunct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200元/10年一年缴纳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</w:rPr>
              <w:t>）</w:t>
            </w:r>
          </w:p>
        </w:tc>
        <w:tc>
          <w:tcPr>
            <w:tcW w:w="116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DBFDA9">
            <w:pPr>
              <w:overflowPunct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</w:rPr>
              <w:t>室外立体式节地葬，一共6层，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墓位为单穴，每穴占地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</w:rPr>
              <w:t>面积为0.0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162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</w:rPr>
              <w:t>㎡；墓体主材为花岗岩材料，含墓穴、墓碑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其中墓碑为南非红大理石材质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</w:rPr>
              <w:t>。</w:t>
            </w:r>
          </w:p>
        </w:tc>
        <w:tc>
          <w:tcPr>
            <w:tcW w:w="669" w:type="pct"/>
            <w:tcBorders>
              <w:tl2br w:val="nil"/>
              <w:tr2bl w:val="nil"/>
            </w:tcBorders>
            <w:vAlign w:val="center"/>
          </w:tcPr>
          <w:p w14:paraId="3B198E5A">
            <w:pPr>
              <w:overflowPunct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456" w:type="pct"/>
            <w:tcBorders>
              <w:tl2br w:val="nil"/>
              <w:tr2bl w:val="nil"/>
            </w:tcBorders>
            <w:vAlign w:val="center"/>
          </w:tcPr>
          <w:p w14:paraId="1823D9A3">
            <w:pPr>
              <w:overflowPunct w:val="0"/>
              <w:adjustRightInd w:val="0"/>
              <w:snapToGrid w:val="0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具体墓区位置详见业务大厅《墓区分布平面图》</w:t>
            </w:r>
          </w:p>
        </w:tc>
      </w:tr>
      <w:tr w14:paraId="14061A8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25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5EA5DF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黑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黑体"/>
                <w:snapToGrid w:val="0"/>
                <w:color w:val="000000"/>
                <w:kern w:val="0"/>
                <w:sz w:val="22"/>
                <w:szCs w:val="22"/>
                <w:lang w:bidi="ar"/>
              </w:rPr>
              <w:t>节地</w:t>
            </w:r>
            <w:r>
              <w:rPr>
                <w:rFonts w:hint="eastAsia" w:ascii="Times New Roman" w:hAnsi="Times New Roman" w:eastAsia="黑体"/>
                <w:snapToGrid w:val="0"/>
                <w:color w:val="000000"/>
                <w:kern w:val="0"/>
                <w:sz w:val="22"/>
                <w:szCs w:val="22"/>
                <w:lang w:val="en-US" w:eastAsia="zh-CN" w:bidi="ar"/>
              </w:rPr>
              <w:t>型室外栏杆葬</w:t>
            </w:r>
          </w:p>
        </w:tc>
        <w:tc>
          <w:tcPr>
            <w:tcW w:w="3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67F84C">
            <w:pPr>
              <w:overflowPunct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</w:rPr>
              <w:t>栏杆葬7区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双穴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一层、二层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010ABF">
            <w:pPr>
              <w:overflowPunct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</w:rPr>
              <w:t>5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8000</w:t>
            </w: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</w:t>
            </w:r>
          </w:p>
        </w:tc>
        <w:tc>
          <w:tcPr>
            <w:tcW w:w="36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C9583E">
            <w:pPr>
              <w:overflowPunct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</w:rPr>
              <w:t>元/双穴</w:t>
            </w:r>
          </w:p>
        </w:tc>
        <w:tc>
          <w:tcPr>
            <w:tcW w:w="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DDDB85">
            <w:pPr>
              <w:overflowPunct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市场调节价</w:t>
            </w:r>
          </w:p>
        </w:tc>
        <w:tc>
          <w:tcPr>
            <w:tcW w:w="49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6FDFDE">
            <w:pPr>
              <w:overflowPunct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8ED2E0">
            <w:pPr>
              <w:overflowPunct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400元/10年</w:t>
            </w:r>
          </w:p>
        </w:tc>
        <w:tc>
          <w:tcPr>
            <w:tcW w:w="116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4BC2EB">
            <w:pPr>
              <w:overflowPunct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</w:rPr>
              <w:t>室外立体式节地葬，一共6层，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墓位为双穴，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</w:rPr>
              <w:t>每穴面积为0.0162㎡；墓体主材为花岗岩材料，含墓穴、墓碑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其中墓碑为南非红大理石材质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</w:rPr>
              <w:t>。</w:t>
            </w:r>
          </w:p>
        </w:tc>
        <w:tc>
          <w:tcPr>
            <w:tcW w:w="669" w:type="pct"/>
            <w:tcBorders>
              <w:tl2br w:val="nil"/>
              <w:tr2bl w:val="nil"/>
            </w:tcBorders>
            <w:vAlign w:val="center"/>
          </w:tcPr>
          <w:p w14:paraId="7404AD0C">
            <w:pPr>
              <w:overflowPunct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456" w:type="pct"/>
            <w:tcBorders>
              <w:tl2br w:val="nil"/>
              <w:tr2bl w:val="nil"/>
            </w:tcBorders>
            <w:vAlign w:val="center"/>
          </w:tcPr>
          <w:p w14:paraId="0BC29CAC">
            <w:pPr>
              <w:overflowPunct w:val="0"/>
              <w:adjustRightInd w:val="0"/>
              <w:snapToGrid w:val="0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具体墓区位置详见业务大厅《墓区分布平面图》</w:t>
            </w:r>
          </w:p>
        </w:tc>
      </w:tr>
      <w:tr w14:paraId="4049C42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25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7E83BD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黑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黑体"/>
                <w:snapToGrid w:val="0"/>
                <w:color w:val="000000"/>
                <w:kern w:val="0"/>
                <w:sz w:val="22"/>
                <w:szCs w:val="22"/>
                <w:lang w:bidi="ar"/>
              </w:rPr>
              <w:t>节地</w:t>
            </w:r>
            <w:r>
              <w:rPr>
                <w:rFonts w:hint="eastAsia" w:ascii="Times New Roman" w:hAnsi="Times New Roman" w:eastAsia="黑体"/>
                <w:snapToGrid w:val="0"/>
                <w:color w:val="000000"/>
                <w:kern w:val="0"/>
                <w:sz w:val="22"/>
                <w:szCs w:val="22"/>
                <w:lang w:val="en-US" w:eastAsia="zh-CN" w:bidi="ar"/>
              </w:rPr>
              <w:t>型室外栏杆葬</w:t>
            </w:r>
          </w:p>
        </w:tc>
        <w:tc>
          <w:tcPr>
            <w:tcW w:w="3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8B4D65">
            <w:pPr>
              <w:overflowPunct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</w:rPr>
              <w:t>栏杆葬7区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双穴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五层、六层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B52120">
            <w:pPr>
              <w:overflowPunct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68000</w:t>
            </w: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</w:t>
            </w:r>
          </w:p>
        </w:tc>
        <w:tc>
          <w:tcPr>
            <w:tcW w:w="36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467148">
            <w:pPr>
              <w:overflowPunct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</w:rPr>
              <w:t>元/双穴</w:t>
            </w:r>
          </w:p>
        </w:tc>
        <w:tc>
          <w:tcPr>
            <w:tcW w:w="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4AAF37">
            <w:pPr>
              <w:overflowPunct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市场调节价</w:t>
            </w:r>
          </w:p>
        </w:tc>
        <w:tc>
          <w:tcPr>
            <w:tcW w:w="49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5B99F6">
            <w:pPr>
              <w:overflowPunct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CC6265">
            <w:pPr>
              <w:overflowPunct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400元/10年</w:t>
            </w:r>
          </w:p>
        </w:tc>
        <w:tc>
          <w:tcPr>
            <w:tcW w:w="116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BA0F09">
            <w:pPr>
              <w:overflowPunct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</w:rPr>
              <w:t>室外立体式节地葬，一共6层，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墓位为双穴，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</w:rPr>
              <w:t>每穴面积为0.0162㎡；墓体主材为花岗岩材料，含墓穴、墓碑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其中墓碑为南非红大理石材质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</w:rPr>
              <w:t>。</w:t>
            </w:r>
          </w:p>
        </w:tc>
        <w:tc>
          <w:tcPr>
            <w:tcW w:w="669" w:type="pct"/>
            <w:tcBorders>
              <w:tl2br w:val="nil"/>
              <w:tr2bl w:val="nil"/>
            </w:tcBorders>
            <w:vAlign w:val="center"/>
          </w:tcPr>
          <w:p w14:paraId="57D83681">
            <w:pPr>
              <w:overflowPunct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456" w:type="pct"/>
            <w:tcBorders>
              <w:tl2br w:val="nil"/>
              <w:tr2bl w:val="nil"/>
            </w:tcBorders>
            <w:vAlign w:val="center"/>
          </w:tcPr>
          <w:p w14:paraId="6423F780">
            <w:pPr>
              <w:overflowPunct w:val="0"/>
              <w:adjustRightInd w:val="0"/>
              <w:snapToGrid w:val="0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具体墓区位置详见业务大厅《墓区分布平面图》</w:t>
            </w:r>
          </w:p>
        </w:tc>
      </w:tr>
      <w:tr w14:paraId="19B1870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253" w:type="pct"/>
            <w:tcBorders>
              <w:tl2br w:val="nil"/>
              <w:tr2bl w:val="nil"/>
            </w:tcBorders>
            <w:vAlign w:val="center"/>
          </w:tcPr>
          <w:p w14:paraId="649DCBA3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黑体"/>
                <w:snapToGrid w:val="0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/>
                <w:snapToGrid w:val="0"/>
                <w:color w:val="000000"/>
                <w:kern w:val="0"/>
                <w:sz w:val="22"/>
                <w:szCs w:val="22"/>
                <w:lang w:bidi="ar"/>
              </w:rPr>
              <w:t>节地</w:t>
            </w:r>
            <w:r>
              <w:rPr>
                <w:rFonts w:hint="eastAsia" w:ascii="Times New Roman" w:hAnsi="Times New Roman" w:eastAsia="黑体"/>
                <w:snapToGrid w:val="0"/>
                <w:color w:val="000000"/>
                <w:kern w:val="0"/>
                <w:sz w:val="22"/>
                <w:szCs w:val="22"/>
                <w:lang w:val="en-US" w:eastAsia="zh-CN" w:bidi="ar"/>
              </w:rPr>
              <w:t>型室外栏杆葬</w:t>
            </w:r>
          </w:p>
        </w:tc>
        <w:tc>
          <w:tcPr>
            <w:tcW w:w="380" w:type="pct"/>
            <w:tcBorders>
              <w:tl2br w:val="nil"/>
              <w:tr2bl w:val="nil"/>
            </w:tcBorders>
            <w:vAlign w:val="center"/>
          </w:tcPr>
          <w:p w14:paraId="25DC399C">
            <w:pPr>
              <w:overflowPunct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</w:rPr>
              <w:t>栏杆葬7区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双穴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三层、四层</w:t>
            </w:r>
          </w:p>
        </w:tc>
        <w:tc>
          <w:tcPr>
            <w:tcW w:w="359" w:type="pct"/>
            <w:tcBorders>
              <w:tl2br w:val="nil"/>
              <w:tr2bl w:val="nil"/>
            </w:tcBorders>
            <w:vAlign w:val="center"/>
          </w:tcPr>
          <w:p w14:paraId="616D07E7">
            <w:pPr>
              <w:overflowPunct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</w:rPr>
              <w:t>7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8000</w:t>
            </w: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</w:t>
            </w:r>
          </w:p>
        </w:tc>
        <w:tc>
          <w:tcPr>
            <w:tcW w:w="368" w:type="pct"/>
            <w:tcBorders>
              <w:tl2br w:val="nil"/>
              <w:tr2bl w:val="nil"/>
            </w:tcBorders>
            <w:vAlign w:val="center"/>
          </w:tcPr>
          <w:p w14:paraId="244569FB">
            <w:pPr>
              <w:overflowPunct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</w:rPr>
              <w:t>元/双穴</w:t>
            </w:r>
          </w:p>
        </w:tc>
        <w:tc>
          <w:tcPr>
            <w:tcW w:w="351" w:type="pct"/>
            <w:tcBorders>
              <w:tl2br w:val="nil"/>
              <w:tr2bl w:val="nil"/>
            </w:tcBorders>
            <w:vAlign w:val="center"/>
          </w:tcPr>
          <w:p w14:paraId="448F7ABC">
            <w:pPr>
              <w:overflowPunct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市场调节价</w:t>
            </w:r>
          </w:p>
        </w:tc>
        <w:tc>
          <w:tcPr>
            <w:tcW w:w="490" w:type="pct"/>
            <w:tcBorders>
              <w:tl2br w:val="nil"/>
              <w:tr2bl w:val="nil"/>
            </w:tcBorders>
            <w:vAlign w:val="center"/>
          </w:tcPr>
          <w:p w14:paraId="31CC59DB">
            <w:pPr>
              <w:overflowPunct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505" w:type="pct"/>
            <w:tcBorders>
              <w:tl2br w:val="nil"/>
              <w:tr2bl w:val="nil"/>
            </w:tcBorders>
            <w:vAlign w:val="center"/>
          </w:tcPr>
          <w:p w14:paraId="4B0BE879">
            <w:pPr>
              <w:overflowPunct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400元/10年</w:t>
            </w:r>
          </w:p>
        </w:tc>
        <w:tc>
          <w:tcPr>
            <w:tcW w:w="1165" w:type="pct"/>
            <w:tcBorders>
              <w:tl2br w:val="nil"/>
              <w:tr2bl w:val="nil"/>
            </w:tcBorders>
            <w:vAlign w:val="center"/>
          </w:tcPr>
          <w:p w14:paraId="15736325">
            <w:pPr>
              <w:overflowPunct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</w:rPr>
              <w:t>室外立体式节地葬，一共6层，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墓位为双穴，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</w:rPr>
              <w:t>每穴面积为0.0162㎡；墓体主材为花岗岩材料，含墓穴、墓碑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其中墓碑为南非红大理石材质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</w:rPr>
              <w:t>。</w:t>
            </w:r>
          </w:p>
        </w:tc>
        <w:tc>
          <w:tcPr>
            <w:tcW w:w="669" w:type="pct"/>
            <w:tcBorders>
              <w:tl2br w:val="nil"/>
              <w:tr2bl w:val="nil"/>
            </w:tcBorders>
            <w:vAlign w:val="center"/>
          </w:tcPr>
          <w:p w14:paraId="6F692F38">
            <w:pPr>
              <w:overflowPunct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456" w:type="pct"/>
            <w:tcBorders>
              <w:tl2br w:val="nil"/>
              <w:tr2bl w:val="nil"/>
            </w:tcBorders>
            <w:vAlign w:val="center"/>
          </w:tcPr>
          <w:p w14:paraId="61959641">
            <w:pPr>
              <w:overflowPunct w:val="0"/>
              <w:adjustRightInd w:val="0"/>
              <w:snapToGrid w:val="0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具体墓区位置详见业务大厅《墓区分布平面图》</w:t>
            </w:r>
          </w:p>
        </w:tc>
      </w:tr>
      <w:tr w14:paraId="33D8C01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253" w:type="pct"/>
            <w:tcBorders>
              <w:tl2br w:val="nil"/>
              <w:tr2bl w:val="nil"/>
            </w:tcBorders>
            <w:vAlign w:val="center"/>
          </w:tcPr>
          <w:p w14:paraId="7C069EB4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/>
                <w:snapToGrid w:val="0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黑体"/>
                <w:snapToGrid w:val="0"/>
                <w:color w:val="auto"/>
                <w:kern w:val="0"/>
                <w:sz w:val="22"/>
                <w:szCs w:val="22"/>
                <w:lang w:val="en-US" w:eastAsia="zh-CN" w:bidi="ar"/>
              </w:rPr>
              <w:t>生态型草坪葬</w:t>
            </w:r>
          </w:p>
        </w:tc>
        <w:tc>
          <w:tcPr>
            <w:tcW w:w="380" w:type="pct"/>
            <w:tcBorders>
              <w:tl2br w:val="nil"/>
              <w:tr2bl w:val="nil"/>
            </w:tcBorders>
            <w:vAlign w:val="center"/>
          </w:tcPr>
          <w:p w14:paraId="5B777F1B">
            <w:pPr>
              <w:overflowPunct w:val="0"/>
              <w:adjustRightInd w:val="0"/>
              <w:snapToGrid w:val="0"/>
              <w:jc w:val="center"/>
              <w:rPr>
                <w:rFonts w:hint="default" w:ascii="仿宋" w:hAnsi="仿宋" w:eastAsia="仿宋" w:cs="仿宋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  <w:t>生态葬1区</w:t>
            </w:r>
          </w:p>
        </w:tc>
        <w:tc>
          <w:tcPr>
            <w:tcW w:w="359" w:type="pct"/>
            <w:tcBorders>
              <w:tl2br w:val="nil"/>
              <w:tr2bl w:val="nil"/>
            </w:tcBorders>
            <w:vAlign w:val="center"/>
          </w:tcPr>
          <w:p w14:paraId="21DC4A9D">
            <w:pPr>
              <w:overflowPunct w:val="0"/>
              <w:adjustRightInd w:val="0"/>
              <w:snapToGrid w:val="0"/>
              <w:jc w:val="center"/>
              <w:rPr>
                <w:rFonts w:hint="default" w:ascii="仿宋" w:hAnsi="仿宋" w:eastAsia="仿宋" w:cs="仿宋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  <w:t>1600元</w:t>
            </w:r>
          </w:p>
        </w:tc>
        <w:tc>
          <w:tcPr>
            <w:tcW w:w="368" w:type="pct"/>
            <w:tcBorders>
              <w:tl2br w:val="nil"/>
              <w:tr2bl w:val="nil"/>
            </w:tcBorders>
            <w:vAlign w:val="center"/>
          </w:tcPr>
          <w:p w14:paraId="3A6DF7BF">
            <w:pPr>
              <w:overflowPunct w:val="0"/>
              <w:adjustRightInd w:val="0"/>
              <w:snapToGrid w:val="0"/>
              <w:jc w:val="center"/>
              <w:rPr>
                <w:rFonts w:hint="default" w:ascii="仿宋" w:hAnsi="仿宋" w:eastAsia="仿宋" w:cs="仿宋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  <w:t>元/例（灰）</w:t>
            </w:r>
          </w:p>
        </w:tc>
        <w:tc>
          <w:tcPr>
            <w:tcW w:w="351" w:type="pct"/>
            <w:tcBorders>
              <w:tl2br w:val="nil"/>
              <w:tr2bl w:val="nil"/>
            </w:tcBorders>
            <w:vAlign w:val="center"/>
          </w:tcPr>
          <w:p w14:paraId="5AFBE287">
            <w:pPr>
              <w:overflowPunct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政府定价</w:t>
            </w:r>
          </w:p>
        </w:tc>
        <w:tc>
          <w:tcPr>
            <w:tcW w:w="490" w:type="pct"/>
            <w:tcBorders>
              <w:tl2br w:val="nil"/>
              <w:tr2bl w:val="nil"/>
            </w:tcBorders>
            <w:vAlign w:val="center"/>
          </w:tcPr>
          <w:p w14:paraId="64F0E941">
            <w:pPr>
              <w:overflowPunct w:val="0"/>
              <w:adjustRightInd w:val="0"/>
              <w:snapToGrid w:val="0"/>
              <w:jc w:val="center"/>
              <w:rPr>
                <w:rFonts w:hint="default" w:ascii="仿宋" w:hAnsi="仿宋" w:eastAsia="仿宋" w:cs="仿宋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《上海市发展和改革委员会 上海市民政局关于我市生态安葬服务收费有关事项的通知》</w:t>
            </w:r>
          </w:p>
        </w:tc>
        <w:tc>
          <w:tcPr>
            <w:tcW w:w="505" w:type="pct"/>
            <w:tcBorders>
              <w:tl2br w:val="nil"/>
              <w:tr2bl w:val="nil"/>
            </w:tcBorders>
            <w:vAlign w:val="center"/>
          </w:tcPr>
          <w:p w14:paraId="488E96F1">
            <w:pPr>
              <w:overflowPunct w:val="0"/>
              <w:adjustRightInd w:val="0"/>
              <w:snapToGrid w:val="0"/>
              <w:jc w:val="center"/>
              <w:rPr>
                <w:rFonts w:hint="default" w:ascii="仿宋" w:hAnsi="仿宋" w:eastAsia="仿宋" w:cs="仿宋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免收</w:t>
            </w:r>
          </w:p>
        </w:tc>
        <w:tc>
          <w:tcPr>
            <w:tcW w:w="1165" w:type="pct"/>
            <w:tcBorders>
              <w:tl2br w:val="nil"/>
              <w:tr2bl w:val="nil"/>
            </w:tcBorders>
            <w:vAlign w:val="center"/>
          </w:tcPr>
          <w:p w14:paraId="03231C35">
            <w:pPr>
              <w:overflowPunct w:val="0"/>
              <w:adjustRightInd w:val="0"/>
              <w:snapToGrid w:val="0"/>
              <w:jc w:val="left"/>
              <w:rPr>
                <w:rFonts w:hint="default" w:ascii="仿宋" w:hAnsi="仿宋" w:eastAsia="仿宋" w:cs="仿宋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  <w:t>室外生态葬，将骨灰放置于可降解骨灰坛中，深埋于地下0.8米左右，3个月左右就会降解。逝者姓名可刻在纪念石碑上。</w:t>
            </w:r>
          </w:p>
        </w:tc>
        <w:tc>
          <w:tcPr>
            <w:tcW w:w="669" w:type="pct"/>
            <w:tcBorders>
              <w:tl2br w:val="nil"/>
              <w:tr2bl w:val="nil"/>
            </w:tcBorders>
            <w:vAlign w:val="center"/>
          </w:tcPr>
          <w:p w14:paraId="21C0DC42">
            <w:pPr>
              <w:overflowPunct w:val="0"/>
              <w:adjustRightInd w:val="0"/>
              <w:snapToGrid w:val="0"/>
              <w:jc w:val="center"/>
              <w:rPr>
                <w:rFonts w:hint="default" w:ascii="仿宋" w:hAnsi="仿宋" w:eastAsia="仿宋" w:cs="仿宋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我市户籍或在我市火化的逝者，其丧事承办人在我市海葬服务机构选择集体海葬，或在经营性公墓选择深埋等其他生态葬式的，丧事承办人无需自行承担相关费用。</w:t>
            </w:r>
          </w:p>
        </w:tc>
        <w:tc>
          <w:tcPr>
            <w:tcW w:w="456" w:type="pct"/>
            <w:tcBorders>
              <w:tl2br w:val="nil"/>
              <w:tr2bl w:val="nil"/>
            </w:tcBorders>
            <w:vAlign w:val="center"/>
          </w:tcPr>
          <w:p w14:paraId="781A4C14">
            <w:pPr>
              <w:overflowPunct w:val="0"/>
              <w:adjustRightInd w:val="0"/>
              <w:snapToGrid w:val="0"/>
              <w:rPr>
                <w:rFonts w:hint="default" w:ascii="仿宋" w:hAnsi="仿宋" w:eastAsia="仿宋" w:cs="仿宋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  <w:t>1.2026年1月1日起供应销售；</w:t>
            </w:r>
          </w:p>
          <w:p w14:paraId="5914669C">
            <w:pPr>
              <w:overflowPunct w:val="0"/>
              <w:adjustRightInd w:val="0"/>
              <w:snapToGrid w:val="0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  <w:t>2.具体墓区位置详见业务大厅《墓区分布平面图》</w:t>
            </w:r>
          </w:p>
        </w:tc>
      </w:tr>
      <w:tr w14:paraId="0603E3E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253" w:type="pct"/>
            <w:tcBorders>
              <w:tl2br w:val="nil"/>
              <w:tr2bl w:val="nil"/>
            </w:tcBorders>
            <w:vAlign w:val="center"/>
          </w:tcPr>
          <w:p w14:paraId="79CD56D3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/>
                <w:snapToGrid w:val="0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黑体"/>
                <w:snapToGrid w:val="0"/>
                <w:color w:val="auto"/>
                <w:kern w:val="0"/>
                <w:sz w:val="24"/>
                <w:lang w:val="en-US" w:eastAsia="zh-CN" w:bidi="ar"/>
              </w:rPr>
              <w:t>传统型墓位</w:t>
            </w:r>
          </w:p>
        </w:tc>
        <w:tc>
          <w:tcPr>
            <w:tcW w:w="380" w:type="pct"/>
            <w:tcBorders>
              <w:tl2br w:val="nil"/>
              <w:tr2bl w:val="nil"/>
            </w:tcBorders>
            <w:vAlign w:val="center"/>
          </w:tcPr>
          <w:p w14:paraId="1A1D4FDA">
            <w:pPr>
              <w:overflowPunct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  <w:t>老墓改建</w:t>
            </w:r>
          </w:p>
        </w:tc>
        <w:tc>
          <w:tcPr>
            <w:tcW w:w="359" w:type="pct"/>
            <w:tcBorders>
              <w:tl2br w:val="nil"/>
              <w:tr2bl w:val="nil"/>
            </w:tcBorders>
            <w:vAlign w:val="center"/>
          </w:tcPr>
          <w:p w14:paraId="6D1CAA85">
            <w:pPr>
              <w:overflowPunct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  <w:t>据实收费</w:t>
            </w:r>
          </w:p>
        </w:tc>
        <w:tc>
          <w:tcPr>
            <w:tcW w:w="368" w:type="pct"/>
            <w:tcBorders>
              <w:tl2br w:val="nil"/>
              <w:tr2bl w:val="nil"/>
            </w:tcBorders>
            <w:vAlign w:val="center"/>
          </w:tcPr>
          <w:p w14:paraId="6E7C9CD0">
            <w:pPr>
              <w:overflowPunct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351" w:type="pct"/>
            <w:tcBorders>
              <w:tl2br w:val="nil"/>
              <w:tr2bl w:val="nil"/>
            </w:tcBorders>
            <w:vAlign w:val="center"/>
          </w:tcPr>
          <w:p w14:paraId="1BB41F21">
            <w:pPr>
              <w:overflowPunct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  <w:t>市场调节价</w:t>
            </w:r>
          </w:p>
        </w:tc>
        <w:tc>
          <w:tcPr>
            <w:tcW w:w="490" w:type="pct"/>
            <w:tcBorders>
              <w:tl2br w:val="nil"/>
              <w:tr2bl w:val="nil"/>
            </w:tcBorders>
            <w:vAlign w:val="center"/>
          </w:tcPr>
          <w:p w14:paraId="7DAE43EF">
            <w:pPr>
              <w:overflowPunct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505" w:type="pct"/>
            <w:tcBorders>
              <w:tl2br w:val="nil"/>
              <w:tr2bl w:val="nil"/>
            </w:tcBorders>
            <w:vAlign w:val="center"/>
          </w:tcPr>
          <w:p w14:paraId="2A6A815A">
            <w:pPr>
              <w:overflowPunct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  <w:t>因改建后的墓穴不增加或减少原有占地面积，维护管理费按原合同占地面积计算</w:t>
            </w:r>
          </w:p>
        </w:tc>
        <w:tc>
          <w:tcPr>
            <w:tcW w:w="1165" w:type="pct"/>
            <w:tcBorders>
              <w:tl2br w:val="nil"/>
              <w:tr2bl w:val="nil"/>
            </w:tcBorders>
            <w:vAlign w:val="center"/>
          </w:tcPr>
          <w:p w14:paraId="04E17439">
            <w:pPr>
              <w:overflowPunct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  <w:t>根据客户意愿进行改建，并按石材用料、设计、施工难易程度等据实收费，</w:t>
            </w:r>
            <w:r>
              <w:rPr>
                <w:rFonts w:hint="eastAsia" w:ascii="仿宋" w:hAnsi="仿宋" w:eastAsia="仿宋" w:cs="仿宋"/>
                <w:b/>
                <w:bCs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  <w:t>详见老墓改建收费明细表。</w:t>
            </w:r>
            <w:bookmarkStart w:id="0" w:name="_GoBack"/>
            <w:bookmarkEnd w:id="0"/>
          </w:p>
        </w:tc>
        <w:tc>
          <w:tcPr>
            <w:tcW w:w="669" w:type="pct"/>
            <w:tcBorders>
              <w:tl2br w:val="nil"/>
              <w:tr2bl w:val="nil"/>
            </w:tcBorders>
            <w:vAlign w:val="center"/>
          </w:tcPr>
          <w:p w14:paraId="1164A051">
            <w:pPr>
              <w:overflowPunct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456" w:type="pct"/>
            <w:tcBorders>
              <w:tl2br w:val="nil"/>
              <w:tr2bl w:val="nil"/>
            </w:tcBorders>
            <w:vAlign w:val="center"/>
          </w:tcPr>
          <w:p w14:paraId="208651D8">
            <w:pPr>
              <w:overflowPunct w:val="0"/>
              <w:adjustRightInd w:val="0"/>
              <w:snapToGrid w:val="0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  <w:t>墓园内符合老墓改建条件的墓区</w:t>
            </w:r>
          </w:p>
        </w:tc>
      </w:tr>
    </w:tbl>
    <w:p w14:paraId="54909C58">
      <w:pPr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>备注：</w:t>
      </w:r>
      <w:r>
        <w:rPr>
          <w:rFonts w:hint="default" w:eastAsia="宋体"/>
          <w:lang w:val="en-US" w:eastAsia="zh-CN"/>
        </w:rPr>
        <w:t>本表格公示的服务项目情况每3个月更新一次，公示期内存在服务项目情况变动的可能，具体以本单位实际情况为准，</w:t>
      </w:r>
      <w:r>
        <w:rPr>
          <w:rFonts w:hint="eastAsia"/>
          <w:lang w:val="en-US" w:eastAsia="zh-CN"/>
        </w:rPr>
        <w:t>服务</w:t>
      </w:r>
      <w:r>
        <w:rPr>
          <w:rFonts w:hint="default" w:eastAsia="宋体"/>
          <w:lang w:val="en-US" w:eastAsia="zh-CN"/>
        </w:rPr>
        <w:t>咨询电话</w:t>
      </w:r>
      <w:r>
        <w:rPr>
          <w:rFonts w:hint="eastAsia"/>
          <w:lang w:val="en-US" w:eastAsia="zh-CN"/>
        </w:rPr>
        <w:t>：</w:t>
      </w:r>
      <w:r>
        <w:rPr>
          <w:rFonts w:hint="eastAsia" w:eastAsia="宋体"/>
          <w:lang w:val="en-US" w:eastAsia="zh-CN"/>
        </w:rPr>
        <w:t>021-</w:t>
      </w:r>
      <w:r>
        <w:rPr>
          <w:rFonts w:hint="default" w:eastAsia="宋体"/>
          <w:lang w:val="en-US" w:eastAsia="zh-CN"/>
        </w:rPr>
        <w:t>57661734转801-804</w:t>
      </w:r>
      <w:r>
        <w:rPr>
          <w:rFonts w:hint="eastAsia" w:eastAsia="宋体"/>
          <w:lang w:val="en-US" w:eastAsia="zh-CN"/>
        </w:rPr>
        <w:t>。</w:t>
      </w:r>
    </w:p>
    <w:sectPr>
      <w:pgSz w:w="16838" w:h="11906" w:orient="landscape"/>
      <w:pgMar w:top="403" w:right="1800" w:bottom="607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A61"/>
    <w:rsid w:val="00072633"/>
    <w:rsid w:val="00331CF9"/>
    <w:rsid w:val="00366ABB"/>
    <w:rsid w:val="00C25A61"/>
    <w:rsid w:val="00EF5BA2"/>
    <w:rsid w:val="011232C7"/>
    <w:rsid w:val="02300221"/>
    <w:rsid w:val="06694975"/>
    <w:rsid w:val="06EA722E"/>
    <w:rsid w:val="073858C3"/>
    <w:rsid w:val="08826A86"/>
    <w:rsid w:val="08AD724D"/>
    <w:rsid w:val="0ACD2740"/>
    <w:rsid w:val="0AF34FF6"/>
    <w:rsid w:val="0C853B85"/>
    <w:rsid w:val="0F2009AA"/>
    <w:rsid w:val="10760BF1"/>
    <w:rsid w:val="109E7AA6"/>
    <w:rsid w:val="116613FD"/>
    <w:rsid w:val="11D553DD"/>
    <w:rsid w:val="120F6CA5"/>
    <w:rsid w:val="12977E48"/>
    <w:rsid w:val="12AE040E"/>
    <w:rsid w:val="13C81009"/>
    <w:rsid w:val="146F2E2A"/>
    <w:rsid w:val="14AC6D94"/>
    <w:rsid w:val="154C4C8C"/>
    <w:rsid w:val="15C95368"/>
    <w:rsid w:val="169A47DC"/>
    <w:rsid w:val="170B4961"/>
    <w:rsid w:val="1CC230F7"/>
    <w:rsid w:val="1F02174F"/>
    <w:rsid w:val="2091534D"/>
    <w:rsid w:val="219E2491"/>
    <w:rsid w:val="268F7377"/>
    <w:rsid w:val="26F84812"/>
    <w:rsid w:val="27F92BDD"/>
    <w:rsid w:val="28B04A45"/>
    <w:rsid w:val="2B972F80"/>
    <w:rsid w:val="2D1D1FB8"/>
    <w:rsid w:val="2F4D576D"/>
    <w:rsid w:val="2F9B5627"/>
    <w:rsid w:val="30C6700D"/>
    <w:rsid w:val="33984358"/>
    <w:rsid w:val="3399072C"/>
    <w:rsid w:val="33D6279A"/>
    <w:rsid w:val="33FC1D0E"/>
    <w:rsid w:val="363341EE"/>
    <w:rsid w:val="3709636F"/>
    <w:rsid w:val="37C36E66"/>
    <w:rsid w:val="381E0C74"/>
    <w:rsid w:val="38A11EB1"/>
    <w:rsid w:val="38C33423"/>
    <w:rsid w:val="3B8801A5"/>
    <w:rsid w:val="3EAB0813"/>
    <w:rsid w:val="3EE53316"/>
    <w:rsid w:val="3FF50466"/>
    <w:rsid w:val="437851E8"/>
    <w:rsid w:val="43C2098B"/>
    <w:rsid w:val="443B2BAE"/>
    <w:rsid w:val="449B23ED"/>
    <w:rsid w:val="454B4091"/>
    <w:rsid w:val="4712572F"/>
    <w:rsid w:val="48616646"/>
    <w:rsid w:val="48EA1171"/>
    <w:rsid w:val="4A82335D"/>
    <w:rsid w:val="4ADA56EB"/>
    <w:rsid w:val="4FF5172F"/>
    <w:rsid w:val="52D668D6"/>
    <w:rsid w:val="567B05CD"/>
    <w:rsid w:val="589934A9"/>
    <w:rsid w:val="58AA33DD"/>
    <w:rsid w:val="5B196D8B"/>
    <w:rsid w:val="5C5662FB"/>
    <w:rsid w:val="5CB41966"/>
    <w:rsid w:val="5CFB327C"/>
    <w:rsid w:val="5D543F38"/>
    <w:rsid w:val="615D7134"/>
    <w:rsid w:val="62407ABB"/>
    <w:rsid w:val="62A0498B"/>
    <w:rsid w:val="63E462E2"/>
    <w:rsid w:val="66302616"/>
    <w:rsid w:val="67C075F5"/>
    <w:rsid w:val="6C572E50"/>
    <w:rsid w:val="6D140FEE"/>
    <w:rsid w:val="6D4F9C03"/>
    <w:rsid w:val="6DD51B39"/>
    <w:rsid w:val="6EC26749"/>
    <w:rsid w:val="70FB544C"/>
    <w:rsid w:val="71B96608"/>
    <w:rsid w:val="72D65C4E"/>
    <w:rsid w:val="73FB701C"/>
    <w:rsid w:val="7592164A"/>
    <w:rsid w:val="76BDB008"/>
    <w:rsid w:val="77530494"/>
    <w:rsid w:val="788F3091"/>
    <w:rsid w:val="7A49604F"/>
    <w:rsid w:val="7B3B2338"/>
    <w:rsid w:val="7DA500A4"/>
    <w:rsid w:val="7F1D63B8"/>
    <w:rsid w:val="7F790D0E"/>
    <w:rsid w:val="7FF2764E"/>
    <w:rsid w:val="8E5F5712"/>
    <w:rsid w:val="EC7DE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6">
    <w:name w:val="font01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7">
    <w:name w:val="font51"/>
    <w:qFormat/>
    <w:uiPriority w:val="0"/>
    <w:rPr>
      <w:rFonts w:hint="eastAsia" w:ascii="黑体" w:hAnsi="宋体" w:eastAsia="黑体" w:cs="黑体"/>
      <w:color w:val="000000"/>
      <w:sz w:val="28"/>
      <w:szCs w:val="28"/>
      <w:u w:val="none"/>
    </w:rPr>
  </w:style>
  <w:style w:type="paragraph" w:customStyle="1" w:styleId="8">
    <w:name w:val="正文首行缩进1"/>
    <w:basedOn w:val="2"/>
    <w:qFormat/>
    <w:uiPriority w:val="99"/>
    <w:pPr>
      <w:ind w:firstLine="420" w:firstLineChars="100"/>
    </w:pPr>
  </w:style>
  <w:style w:type="character" w:customStyle="1" w:styleId="9">
    <w:name w:val="font21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1616</Words>
  <Characters>1757</Characters>
  <Lines>3</Lines>
  <Paragraphs>1</Paragraphs>
  <TotalTime>5</TotalTime>
  <ScaleCrop>false</ScaleCrop>
  <LinksUpToDate>false</LinksUpToDate>
  <CharactersWithSpaces>1760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2014-10-31T04:08:00Z</dcterms:created>
  <dc:creator>Administrator</dc:creator>
  <cp:lastModifiedBy>faye13_lyf</cp:lastModifiedBy>
  <cp:lastPrinted>2025-12-19T05:25:00Z</cp:lastPrinted>
  <dcterms:modified xsi:type="dcterms:W3CDTF">2025-12-19T07:59:29Z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eyJoZGlkIjoiMWY4NTNjZTExMDNiZWZiNjY0OTQ3MWFlMWU4Yzc5YjYiLCJ1c2VySWQiOiI1NDU5Nzc5MDMifQ==</vt:lpwstr>
  </property>
  <property fmtid="{D5CDD505-2E9C-101B-9397-08002B2CF9AE}" pid="4" name="ICV">
    <vt:lpwstr>217CC2AF01F44EBD8D773C51276A0103_13</vt:lpwstr>
  </property>
</Properties>
</file>